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北京市住房资金管理中心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关于进一步方便住房资金业务办理有关事项的通知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4D4F53"/>
          <w:spacing w:val="1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24"/>
          <w:szCs w:val="24"/>
          <w:shd w:val="clear" w:fill="FFFFFF"/>
        </w:rPr>
        <w:t>　　京房资金发〔2020〕3号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各交存人、交存单位：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为进一步优化营商环境，提升便民利企服务水平，现就交存至北京市住房资金管理中心(以下简称管理中心)的商品住宅专项维修资金、按房改政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策出售的公有住房售房款(以下简称房改售房款)及售后公有住房住宅专项维修资金(以下简称房改房维修资金)有关业务办理事项，通知如下：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b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4D4F53"/>
          <w:spacing w:val="15"/>
          <w:sz w:val="30"/>
          <w:szCs w:val="30"/>
          <w:shd w:val="clear" w:fill="FFFFFF"/>
        </w:rPr>
        <w:t>　　一、增加住宅专项维修资金的交款途径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(一)业主(购房人)可通过扫码交存商品住宅专项维修资金。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业主(购房人)收到《住宅专项维修资金交款通知》后，可登录管理中心网站(http://gjj.beijing.gov.cn)通过“政务服务-个人办事”栏目下“住宅专项维修资金个人在线支付”频道，先输入交款通知上记载的申请编号和业主(购房人)姓名，获取交款二维码，再使用移动支付工具扫描所获二维码进行交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(二)开发企业(房改售房单位)可通过网银转账交存住宅专项维修资金。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1.开发企业代交商品住宅专项维修资金的，可登录“北京市住宅专项维修资金管理系统”(https://dwrz.gjj.beijing.gov.cn/logon/cert.jsp，下同)，通过【维修资金(开发商)-商品房交存登记】功能，选择“在线支付”方式，使用网银支付工具进行转账交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2.公有住房售房单位交存或代交房改房维修资金的，可登录“北京住房公积金管理中心(北京市住房资金管理中心)网上业务平台”(https://dwwsyw.gjj.beijing.gov.cn/ish/gwfg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forg.jsp，下同)，通过【维修资金(售房单位)-房改房维修资金交存登记】，选择“在线支付”方式，使用网银支付工具进行转账交款。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b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4D4F53"/>
          <w:spacing w:val="15"/>
          <w:sz w:val="30"/>
          <w:szCs w:val="30"/>
          <w:shd w:val="clear" w:fill="FFFFFF"/>
        </w:rPr>
        <w:t>　　二、增加部分住房资金业务提交办理材料的方式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(一)开发企业与物业服务企业可登录“北京市住宅专项维修资金管理系统”，通过上传电子影像的方式提交商品住宅专项维修资金的楼盘造册(登记)、楼盘信息变更、产业空户销户、物业区域关联等业务材料。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1.楼盘造册(登记)。开发企业登录系统后，通过【维修资金(开发商)-房屋信息管理-新增楼盘登记-电子影像上传】功能，进入“业务历史信息”页面，选择需进行电子影像上传的业务记录后，可提交电子影像材料。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2.楼盘信息变更。开发企业登录系统后，通过【维修资金(开发商)-房屋信息管理-已审核楼盘信息变更】功能，进入“信息变更”页面，修改相关信息后，通过页面下方【附件管理】功能上传电子影像材料。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3.产业空户销户业务。开发企业登录系统后，通过【维修资金(开发商)-房屋信息管理-产业空户销户】功能，进入“产业空户销户”页面，选择需进行空户销户的房屋后，通过页面下方【附件管理】功能上传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4.物业区域关联。物业服务企业登录系统后，通过【维修资金(物业)-物业区域关联】功能，进入“选择区域”页面，选定需关联物业区域后，通过页面下方【附件管理】功能上传电子影像材料。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(二)房改售房单位可登录“北京住房公积金管理中心(北京市住房资金管理中心)网上业务平台”，通过上传电子影像的方式提交房改房维修资金的楼盘造册(登记)、交存、支取、已审核楼盘信息变更等业务材料。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1.楼盘造册(登记)。房改售房单位登录网上业务平台后，通过【维修资金(售房单位)-房屋信息管理-新增楼盘登记-电子影像上传】功能，进入“业务历史信息”页面，选择需进行电子影像上传的业务记录后，点击【电子影像上传】按钮，按页面提示所需材料提交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2.交存。房改售房单位登录网上业务平台后，通过【维修资金(售房单位)-房改房维修资金交存登记】功能，进入“交存登记”信息录入页面，录入相关交存登记信息后，点击【电子影像上传】按钮，按页面提示所需材料提交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3.支取。房改售房单位登录网上业务平台后，通过【维修资金(售房单位)-房改房维修资金支取申请】功能，进入“维修支取信息”录入页面，录入相关支取信息后，点击【电子影像上传】按钮，按页面提示所需材料提交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4.已审核楼盘信息变更。房改售房单位登录网上业务平台后，通过【维修资金(售房单位)-房屋信息管理-已审核楼盘信息变更】功能，进入“信息变更”页面，修改相关信息后，点击【电子影像上传】按钮，按页面提示所需材料提交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(三)房改售房单位可登录“北京住房公积金管理中心(北京市住房资金管理中心)网上业务平台”，通过上传电子影像的方式提交房改售房款的交存、支取业务材料。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1.交存。房改售房单位登录网上业务平台后，通过【房改售房款-交存申请】功能，进入“交存申请”页面，通过页面下方【附件管理】功能上传电子影像材料。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2.支取。房改售房单位登录网上业务平台后，通过【房改售房款-支取申请】功能，进入“支取申请”页面，通过页面下方【附件管理】功能上传电子影像材料。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b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4D4F53"/>
          <w:spacing w:val="15"/>
          <w:sz w:val="30"/>
          <w:szCs w:val="30"/>
          <w:shd w:val="clear" w:fill="FFFFFF"/>
        </w:rPr>
        <w:t>　　三、简化住房资金单位信息变更办理方式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已在“北京市住宅专项维修资金管理系统”注册的开发企业和物业服务企业，及在“北京住房公积金管理中心(北京市住房资金管理中心)网上业务平台”注册的房改售房单位，当单位登记信息发生变化时，可由信息变化主体登录系统或平台，通过【单位信息变更】功能自助办理单位信息变更业务。其中，单位名称发生变化的，须通过点击【质监校验】按钮，自动完成单位名称的变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特此通知。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北京市住房资金管理中心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D4F53"/>
          <w:spacing w:val="15"/>
          <w:sz w:val="30"/>
          <w:szCs w:val="30"/>
          <w:shd w:val="clear" w:fill="FFFFFF"/>
        </w:rPr>
        <w:t>　　2020年8月11日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2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33E5C"/>
    <w:rsid w:val="0DFD73FF"/>
    <w:rsid w:val="1A7C1B09"/>
    <w:rsid w:val="3AED664C"/>
    <w:rsid w:val="564D75FC"/>
    <w:rsid w:val="725F0943"/>
    <w:rsid w:val="76D96AA0"/>
    <w:rsid w:val="7E26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2020-08-21T07:17:00Z</dcterms:created>
  <dc:creator>Administrator</dc:creator>
  <cp:lastModifiedBy>Shaw</cp:lastModifiedBy>
  <dcterms:modified xsi:type="dcterms:W3CDTF">2020-08-24T05:05:17Z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